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78" w:rsidRDefault="00870718">
      <w:pPr>
        <w:spacing w:after="20" w:line="276" w:lineRule="auto"/>
        <w:ind w:left="154" w:right="0" w:firstLine="456"/>
        <w:jc w:val="both"/>
        <w:rPr>
          <w:rFonts w:ascii="Calibri" w:eastAsia="Calibri" w:hAnsi="Calibri" w:cs="Calibri"/>
          <w:i/>
          <w:sz w:val="19"/>
        </w:rPr>
      </w:pPr>
      <w:bookmarkStart w:id="0" w:name="_GoBack"/>
      <w:bookmarkEnd w:id="0"/>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w:t>
      </w:r>
    </w:p>
    <w:p w:rsidR="000C1B47" w:rsidRDefault="00870718">
      <w:pPr>
        <w:spacing w:after="20" w:line="276" w:lineRule="auto"/>
        <w:ind w:left="154" w:right="0" w:firstLine="456"/>
        <w:jc w:val="both"/>
      </w:pP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C2445B">
        <w:trPr>
          <w:trHeight w:val="521"/>
        </w:trPr>
        <w:tc>
          <w:tcPr>
            <w:tcW w:w="5658" w:type="dxa"/>
            <w:tcBorders>
              <w:top w:val="single" w:sz="2" w:space="0" w:color="000000"/>
              <w:left w:val="single" w:sz="2" w:space="0" w:color="000000"/>
              <w:bottom w:val="single" w:sz="2" w:space="0" w:color="000000"/>
              <w:right w:val="single" w:sz="2" w:space="0" w:color="000000"/>
            </w:tcBorders>
            <w:shd w:val="clear" w:color="auto" w:fill="auto"/>
          </w:tcPr>
          <w:p w:rsidR="000C1B47" w:rsidRPr="00C2445B" w:rsidRDefault="00870718" w:rsidP="00B37EC1">
            <w:pPr>
              <w:spacing w:after="0" w:line="276" w:lineRule="auto"/>
              <w:ind w:left="0" w:right="0" w:firstLine="0"/>
            </w:pPr>
            <w:r w:rsidRPr="00C2445B">
              <w:t>G</w:t>
            </w:r>
            <w:r w:rsidR="007A4499" w:rsidRPr="00C2445B">
              <w:t>ara</w:t>
            </w:r>
            <w:r w:rsidR="004F18AF" w:rsidRPr="00C2445B">
              <w:t xml:space="preserve">: </w:t>
            </w:r>
            <w:r w:rsidR="0075499F">
              <w:rPr>
                <w:b/>
              </w:rPr>
              <w:t>Bando n. 4</w:t>
            </w:r>
            <w:r w:rsidR="00921B8F" w:rsidRPr="00C2445B">
              <w:rPr>
                <w:b/>
              </w:rPr>
              <w:t xml:space="preserve"> Assicurazione </w:t>
            </w:r>
            <w:proofErr w:type="spellStart"/>
            <w:r w:rsidR="00921B8F" w:rsidRPr="00C2445B">
              <w:rPr>
                <w:b/>
              </w:rPr>
              <w:t>Rc</w:t>
            </w:r>
            <w:proofErr w:type="spellEnd"/>
            <w:r w:rsidR="00921B8F" w:rsidRPr="00C2445B">
              <w:rPr>
                <w:b/>
              </w:rPr>
              <w:t xml:space="preserve">, Infortuni, Tutela Giudiziaria e Assistenza alunni e </w:t>
            </w:r>
            <w:r w:rsidR="0075499F">
              <w:rPr>
                <w:b/>
              </w:rPr>
              <w:t>personale IC Villongo a. s. 2021/2022</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6E731F" w:rsidRDefault="00870718" w:rsidP="00886599">
            <w:pPr>
              <w:spacing w:after="0" w:line="276" w:lineRule="auto"/>
              <w:ind w:left="0" w:right="0" w:firstLine="0"/>
              <w:jc w:val="center"/>
              <w:rPr>
                <w:b/>
              </w:rPr>
            </w:pPr>
            <w:r w:rsidRPr="006E731F">
              <w:rPr>
                <w:b/>
              </w:rPr>
              <w:t xml:space="preserve">CIG: </w:t>
            </w:r>
            <w:r w:rsidR="00921B8F" w:rsidRPr="006E731F">
              <w:rPr>
                <w:b/>
              </w:rPr>
              <w:t>Z</w:t>
            </w:r>
            <w:r w:rsidR="00886599">
              <w:rPr>
                <w:b/>
              </w:rPr>
              <w:t>AD33C856E</w:t>
            </w:r>
          </w:p>
        </w:tc>
      </w:tr>
    </w:tbl>
    <w:p w:rsidR="008C355E" w:rsidRDefault="008C355E">
      <w:pPr>
        <w:spacing w:after="0" w:line="240" w:lineRule="auto"/>
        <w:ind w:left="0" w:right="0" w:firstLine="0"/>
        <w:jc w:val="center"/>
        <w:rPr>
          <w:b/>
          <w:sz w:val="28"/>
        </w:rPr>
      </w:pPr>
    </w:p>
    <w:p w:rsidR="000C1B47" w:rsidRDefault="000807E7">
      <w:pPr>
        <w:spacing w:after="0" w:line="240" w:lineRule="auto"/>
        <w:ind w:left="0" w:right="0" w:firstLine="0"/>
        <w:jc w:val="center"/>
      </w:pPr>
      <w:r>
        <w:rPr>
          <w:b/>
          <w:sz w:val="28"/>
        </w:rPr>
        <w:t xml:space="preserve">Allegato 5 - </w:t>
      </w:r>
      <w:r w:rsidR="00835959">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w:t>
      </w:r>
      <w:r w:rsidR="00CC3098">
        <w:t xml:space="preserve"> </w:t>
      </w:r>
      <w:r>
        <w:t>-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(di seguito denominata Società)</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870718">
        <w:t>Per la società: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D97478">
      <w:pgSz w:w="11900" w:h="16840"/>
      <w:pgMar w:top="567"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807E7"/>
    <w:rsid w:val="000C1B47"/>
    <w:rsid w:val="0011395B"/>
    <w:rsid w:val="00145EDA"/>
    <w:rsid w:val="001C21CC"/>
    <w:rsid w:val="001F4CD4"/>
    <w:rsid w:val="002100AF"/>
    <w:rsid w:val="0028536C"/>
    <w:rsid w:val="004E04DC"/>
    <w:rsid w:val="004F18AF"/>
    <w:rsid w:val="005171FC"/>
    <w:rsid w:val="00555761"/>
    <w:rsid w:val="00596062"/>
    <w:rsid w:val="005B6951"/>
    <w:rsid w:val="00642115"/>
    <w:rsid w:val="00644A72"/>
    <w:rsid w:val="006E731F"/>
    <w:rsid w:val="00740247"/>
    <w:rsid w:val="0075499F"/>
    <w:rsid w:val="007A4499"/>
    <w:rsid w:val="007C6D78"/>
    <w:rsid w:val="007E5A13"/>
    <w:rsid w:val="00804BD6"/>
    <w:rsid w:val="00835959"/>
    <w:rsid w:val="00870718"/>
    <w:rsid w:val="008818D0"/>
    <w:rsid w:val="00886599"/>
    <w:rsid w:val="008C355E"/>
    <w:rsid w:val="008E11FC"/>
    <w:rsid w:val="00921B8F"/>
    <w:rsid w:val="0093315E"/>
    <w:rsid w:val="009344CC"/>
    <w:rsid w:val="0094677F"/>
    <w:rsid w:val="00A54A5D"/>
    <w:rsid w:val="00B37EC1"/>
    <w:rsid w:val="00B55E3F"/>
    <w:rsid w:val="00BE1E9B"/>
    <w:rsid w:val="00C2445B"/>
    <w:rsid w:val="00C4405E"/>
    <w:rsid w:val="00CC3098"/>
    <w:rsid w:val="00D11FF7"/>
    <w:rsid w:val="00D22199"/>
    <w:rsid w:val="00D97478"/>
    <w:rsid w:val="00DB5F06"/>
    <w:rsid w:val="00E03316"/>
    <w:rsid w:val="00E1454A"/>
    <w:rsid w:val="00E634E3"/>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6449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Utente8</cp:lastModifiedBy>
  <cp:revision>4</cp:revision>
  <cp:lastPrinted>2021-11-06T11:53:00Z</cp:lastPrinted>
  <dcterms:created xsi:type="dcterms:W3CDTF">2021-11-06T11:33:00Z</dcterms:created>
  <dcterms:modified xsi:type="dcterms:W3CDTF">2021-11-06T11:53:00Z</dcterms:modified>
</cp:coreProperties>
</file>